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30" w:rsidRPr="00044430" w:rsidRDefault="00044430" w:rsidP="000444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44430">
        <w:rPr>
          <w:rFonts w:ascii="Times New Roman" w:hAnsi="Times New Roman" w:cs="Times New Roman"/>
          <w:bCs/>
          <w:sz w:val="28"/>
          <w:szCs w:val="28"/>
        </w:rPr>
        <w:t xml:space="preserve">СОВЕТ </w:t>
      </w:r>
      <w:r w:rsidR="009D09E2">
        <w:rPr>
          <w:rFonts w:ascii="Times New Roman" w:hAnsi="Times New Roman" w:cs="Times New Roman"/>
          <w:bCs/>
          <w:sz w:val="28"/>
          <w:szCs w:val="28"/>
        </w:rPr>
        <w:t>НОВОПОКРОВСКОГО</w:t>
      </w:r>
      <w:r w:rsidRPr="0004443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044430" w:rsidRPr="00044430" w:rsidRDefault="00044430" w:rsidP="000444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44430">
        <w:rPr>
          <w:rFonts w:ascii="Times New Roman" w:hAnsi="Times New Roman" w:cs="Times New Roman"/>
          <w:bCs/>
          <w:sz w:val="28"/>
          <w:szCs w:val="28"/>
        </w:rPr>
        <w:t xml:space="preserve">ГОРЬКОВСКОГО МУНИЦИПАЛЬНОГО РАЙОНА </w:t>
      </w:r>
    </w:p>
    <w:p w:rsidR="00044430" w:rsidRPr="00044430" w:rsidRDefault="00044430" w:rsidP="000444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44430">
        <w:rPr>
          <w:rFonts w:ascii="Times New Roman" w:hAnsi="Times New Roman" w:cs="Times New Roman"/>
          <w:bCs/>
          <w:sz w:val="28"/>
          <w:szCs w:val="28"/>
        </w:rPr>
        <w:t>ОМСКОЙ ОБЛАСТИ</w:t>
      </w:r>
    </w:p>
    <w:p w:rsidR="00044430" w:rsidRPr="00044430" w:rsidRDefault="00044430" w:rsidP="00044430">
      <w:pPr>
        <w:tabs>
          <w:tab w:val="left" w:pos="2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CB6033">
      <w:pPr>
        <w:tabs>
          <w:tab w:val="left" w:pos="2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РЕШЕНИЕ</w:t>
      </w:r>
    </w:p>
    <w:p w:rsidR="00044430" w:rsidRPr="00044430" w:rsidRDefault="00CB6033" w:rsidP="00CB6033">
      <w:pPr>
        <w:tabs>
          <w:tab w:val="left" w:pos="2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33</w:t>
      </w:r>
      <w:r w:rsidR="00044430" w:rsidRPr="00044430">
        <w:rPr>
          <w:rFonts w:ascii="Times New Roman" w:hAnsi="Times New Roman" w:cs="Times New Roman"/>
          <w:bCs/>
          <w:sz w:val="28"/>
          <w:szCs w:val="28"/>
        </w:rPr>
        <w:t xml:space="preserve"> сессии  4 созыва</w:t>
      </w: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44430" w:rsidRPr="00044430" w:rsidRDefault="00044430" w:rsidP="00044430">
      <w:pPr>
        <w:tabs>
          <w:tab w:val="left" w:pos="2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CB603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B603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.2022</w:t>
      </w:r>
      <w:r w:rsidR="00A252C2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</w:t>
      </w:r>
      <w:r w:rsidR="003F1CB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F1CB1">
        <w:rPr>
          <w:rFonts w:ascii="Times New Roman" w:hAnsi="Times New Roman" w:cs="Times New Roman"/>
          <w:sz w:val="28"/>
          <w:szCs w:val="28"/>
        </w:rPr>
        <w:t>4</w:t>
      </w:r>
    </w:p>
    <w:p w:rsidR="00044430" w:rsidRDefault="00044430" w:rsidP="000444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выдвижения, внесения, обсуждения, рассмотрения инициативных проектов, а также проведения их конкурсного отбора на территории </w:t>
      </w:r>
      <w:r w:rsidR="009D09E2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ab/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Омской области от 07.04.2021 №133-п «О конкурсном отборе инициативных проектов на территории Омской области», руководствуясь Уставом </w:t>
      </w:r>
      <w:r w:rsidR="009D09E2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 xml:space="preserve">, Совет </w:t>
      </w:r>
      <w:r w:rsidR="009D09E2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поселения,</w:t>
      </w:r>
      <w:r w:rsidRPr="000444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Default="00044430" w:rsidP="000444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1. Утвердить Положение о порядке выдвижения, внесения, обсуждения, рассмотрения инициативных проектов, а также проведения их конкурсного отбора на территории </w:t>
      </w:r>
      <w:r w:rsidR="009D09E2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044430" w:rsidRPr="00044430" w:rsidRDefault="00044430" w:rsidP="00AD17DE">
      <w:pPr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2. Настоящее решение подлежит опубликованию в газете </w:t>
      </w:r>
      <w:r>
        <w:rPr>
          <w:rFonts w:ascii="Times New Roman" w:hAnsi="Times New Roman" w:cs="Times New Roman"/>
          <w:sz w:val="28"/>
          <w:szCs w:val="28"/>
        </w:rPr>
        <w:t>«Горьковский муниципальный вестник»</w:t>
      </w:r>
      <w:r w:rsidR="00AD17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9D09E2" w:rsidRPr="009D09E2">
        <w:rPr>
          <w:rFonts w:ascii="Times New Roman" w:hAnsi="Times New Roman" w:cs="Times New Roman"/>
          <w:sz w:val="28"/>
          <w:szCs w:val="28"/>
        </w:rPr>
        <w:t xml:space="preserve"> </w:t>
      </w:r>
      <w:r w:rsidR="009D09E2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поселение)</w:t>
      </w:r>
      <w:r w:rsidRPr="00044430">
        <w:rPr>
          <w:rFonts w:ascii="Times New Roman" w:hAnsi="Times New Roman" w:cs="Times New Roman"/>
          <w:sz w:val="28"/>
          <w:szCs w:val="28"/>
        </w:rPr>
        <w:t xml:space="preserve"> и размещению в информационно-телекоммуникационной сети «Интернет» </w:t>
      </w:r>
      <w:r w:rsidR="009D09E2" w:rsidRPr="009D09E2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AD17DE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AD17DE">
        <w:t xml:space="preserve"> </w:t>
      </w:r>
      <w:hyperlink r:id="rId6" w:history="1">
        <w:r w:rsidR="00AD17DE" w:rsidRPr="00A32170">
          <w:rPr>
            <w:rStyle w:val="a3"/>
            <w:rFonts w:ascii="Times New Roman" w:hAnsi="Times New Roman"/>
            <w:sz w:val="28"/>
            <w:szCs w:val="28"/>
          </w:rPr>
          <w:t>http://</w:t>
        </w:r>
        <w:r w:rsidR="00AD17DE" w:rsidRPr="00A32170">
          <w:rPr>
            <w:rStyle w:val="a3"/>
            <w:rFonts w:ascii="Times New Roman" w:hAnsi="Times New Roman"/>
            <w:sz w:val="28"/>
            <w:szCs w:val="28"/>
            <w:lang w:val="en-US"/>
          </w:rPr>
          <w:t>nvp</w:t>
        </w:r>
        <w:r w:rsidR="00AD17DE" w:rsidRPr="00AD17DE">
          <w:rPr>
            <w:rStyle w:val="a3"/>
            <w:rFonts w:ascii="Times New Roman" w:hAnsi="Times New Roman"/>
            <w:sz w:val="28"/>
            <w:szCs w:val="28"/>
          </w:rPr>
          <w:t>.</w:t>
        </w:r>
        <w:r w:rsidR="00AD17DE" w:rsidRPr="00A32170">
          <w:rPr>
            <w:rStyle w:val="a3"/>
            <w:rFonts w:ascii="Times New Roman" w:hAnsi="Times New Roman"/>
            <w:sz w:val="28"/>
            <w:szCs w:val="28"/>
          </w:rPr>
          <w:t>gork.omskportal.ru</w:t>
        </w:r>
      </w:hyperlink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D09E2">
        <w:rPr>
          <w:rFonts w:ascii="Times New Roman" w:hAnsi="Times New Roman" w:cs="Times New Roman"/>
          <w:sz w:val="28"/>
          <w:szCs w:val="28"/>
        </w:rPr>
        <w:t>Новопокровского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9D09E2">
        <w:rPr>
          <w:rFonts w:ascii="Times New Roman" w:hAnsi="Times New Roman" w:cs="Times New Roman"/>
          <w:sz w:val="28"/>
          <w:szCs w:val="28"/>
        </w:rPr>
        <w:t xml:space="preserve">        Ю.Г. Канунников</w:t>
      </w:r>
      <w:r w:rsidRPr="0004443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Приложение                                                                                                       </w:t>
      </w:r>
    </w:p>
    <w:p w:rsidR="009D09E2" w:rsidRDefault="00044430" w:rsidP="000444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 решению Совета </w:t>
      </w:r>
      <w:r w:rsidR="009D09E2">
        <w:rPr>
          <w:rFonts w:ascii="Times New Roman" w:hAnsi="Times New Roman" w:cs="Times New Roman"/>
          <w:sz w:val="28"/>
          <w:szCs w:val="28"/>
        </w:rPr>
        <w:t>Новопокровского</w:t>
      </w:r>
    </w:p>
    <w:p w:rsidR="00044430" w:rsidRPr="00044430" w:rsidRDefault="00044430" w:rsidP="000444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от </w:t>
      </w:r>
      <w:r w:rsidR="00CB603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B603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.2022 </w:t>
      </w:r>
      <w:r w:rsidRPr="00044430">
        <w:rPr>
          <w:rFonts w:ascii="Times New Roman" w:hAnsi="Times New Roman" w:cs="Times New Roman"/>
          <w:sz w:val="28"/>
          <w:szCs w:val="28"/>
        </w:rPr>
        <w:t xml:space="preserve"> № </w:t>
      </w:r>
      <w:r w:rsidR="003F1CB1">
        <w:rPr>
          <w:rFonts w:ascii="Times New Roman" w:hAnsi="Times New Roman" w:cs="Times New Roman"/>
          <w:sz w:val="28"/>
          <w:szCs w:val="28"/>
        </w:rPr>
        <w:t>4</w:t>
      </w: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Default="00044430" w:rsidP="000444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ПОЛОЖЕНИЕ</w:t>
      </w:r>
    </w:p>
    <w:p w:rsidR="00044430" w:rsidRPr="009D09E2" w:rsidRDefault="00044430" w:rsidP="009D09E2">
      <w:r w:rsidRPr="00044430">
        <w:rPr>
          <w:rFonts w:ascii="Times New Roman" w:hAnsi="Times New Roman" w:cs="Times New Roman"/>
          <w:sz w:val="28"/>
          <w:szCs w:val="28"/>
        </w:rPr>
        <w:t>о порядке выдвижения, внесения, обсуждения, рассмотрения инициативных проектов, а также проведения их конкурсного отбора на территории</w:t>
      </w:r>
      <w:r w:rsidR="009D09E2" w:rsidRPr="009D09E2">
        <w:rPr>
          <w:rFonts w:ascii="Times New Roman" w:hAnsi="Times New Roman" w:cs="Times New Roman"/>
          <w:sz w:val="28"/>
          <w:szCs w:val="28"/>
        </w:rPr>
        <w:t xml:space="preserve"> </w:t>
      </w:r>
      <w:r w:rsidR="009D09E2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044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порядок выдвижения, внесения, обсуждения, рассмотрения инициативных проектов, а также проведения их конкурсного отбора для реализации на территории </w:t>
      </w:r>
      <w:r w:rsidR="009D09E2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i/>
          <w:sz w:val="28"/>
          <w:szCs w:val="28"/>
        </w:rPr>
        <w:t>,</w:t>
      </w:r>
      <w:r w:rsidRPr="00044430">
        <w:rPr>
          <w:rFonts w:ascii="Times New Roman" w:hAnsi="Times New Roman" w:cs="Times New Roman"/>
          <w:sz w:val="28"/>
          <w:szCs w:val="28"/>
        </w:rPr>
        <w:t xml:space="preserve"> в том числе и в целях выдвижения для получения финансовой поддержки за счет межбюджетных трансфертов из бюджета Омской области. 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1.2. Термины и понятия, используемые в настоящем Положении, по своему значению соответствуют терминам и понятиям, используемым в Федеральном законе от 6 октября 2003 года № 131-ФЗ «Об общих принципах организации местного самоуправления в Российской Федерации».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1.3. Организатором конкурсного отбора инициативных проектов на территории </w:t>
      </w:r>
      <w:r w:rsidR="009D09E2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, в том числе и в целях выдвижения для получения финансовой поддержки за счет межбюджетных трансфертов из бюджета Омской области (далее – отбора инициативных проектов) является Администрация</w:t>
      </w:r>
      <w:r w:rsidR="009D09E2" w:rsidRPr="009D09E2">
        <w:rPr>
          <w:rFonts w:ascii="Times New Roman" w:hAnsi="Times New Roman" w:cs="Times New Roman"/>
          <w:sz w:val="28"/>
          <w:szCs w:val="28"/>
        </w:rPr>
        <w:t xml:space="preserve"> </w:t>
      </w:r>
      <w:r w:rsidR="009D09E2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044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1.4. Материально-техническое, информационно-аналитическое и организационное обеспечение конкурсного отбора инициативных проектов на территории </w:t>
      </w:r>
      <w:r w:rsidR="009D09E2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>
        <w:rPr>
          <w:rFonts w:ascii="Times New Roman" w:hAnsi="Times New Roman" w:cs="Times New Roman"/>
          <w:sz w:val="28"/>
          <w:szCs w:val="28"/>
        </w:rPr>
        <w:t>о 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Администрацией </w:t>
      </w:r>
      <w:r w:rsidR="009D09E2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1.5. Инициативным проектом является документально оформленное и внесенное в порядке, установленном настоящим Положением, в Администрацию </w:t>
      </w:r>
      <w:r w:rsidR="009D09E2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 xml:space="preserve"> предложение в целях реализации мероприятий, имеющих приоритетное значение для жителей </w:t>
      </w:r>
      <w:r w:rsidR="009D09E2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 xml:space="preserve"> или его части, по решению вопросов местного значения или иных вопросов, право решения, которых предоставлено органам местного самоуправления.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1.6. Инициативный проект реализуется за счет средств бюджета </w:t>
      </w:r>
      <w:r w:rsidR="009D09E2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 xml:space="preserve">, в том числе инициативных платежей – средств граждан, индивидуальных предпринимателей и образованных в соответствии с законодательством Российской Федерации юридических лиц, уплачиваемых на добровольной основе и зачисляемых в бюджет </w:t>
      </w:r>
      <w:r w:rsidR="009D09E2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A252C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252C2"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а также межбюджетных  трансфертов из бюджета Омской области, в случае получения финансовой поддержки из бюджета Омской области.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1.7. Бюджетные ассигнования на реализацию инициативных проектов предусматриваются в бюджете </w:t>
      </w:r>
      <w:r w:rsidR="009D09E2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1.8. Объем бюджетных ассигнований на поддержку одного инициативного проекта из бюджета </w:t>
      </w:r>
      <w:r w:rsidR="009D09E2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 xml:space="preserve"> без учета межбюджетных  трансфертов из бюджета Омской области не должен превышать</w:t>
      </w:r>
      <w:r w:rsidR="009D09E2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color w:val="FF0000"/>
          <w:sz w:val="28"/>
          <w:szCs w:val="28"/>
        </w:rPr>
        <w:t>2 000 000,00</w:t>
      </w:r>
      <w:r w:rsidRPr="0004443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44430" w:rsidRPr="00044430" w:rsidRDefault="00044430" w:rsidP="00044430">
      <w:pPr>
        <w:numPr>
          <w:ilvl w:val="0"/>
          <w:numId w:val="1"/>
        </w:numPr>
        <w:tabs>
          <w:tab w:val="left" w:pos="426"/>
          <w:tab w:val="left" w:pos="851"/>
          <w:tab w:val="left" w:pos="1418"/>
          <w:tab w:val="left" w:pos="3119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Выдвижение инициативных проектов</w:t>
      </w: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2.1. С инициативой о внесении инициативного проекта вправе выступить: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- инициативная группа численностью не менее пяти граждан, достигших шестнадцатилетнего возраста и проживающих на территории </w:t>
      </w:r>
      <w:r w:rsidR="009D09E2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- органы территориального общественного самоуправления </w:t>
      </w:r>
      <w:r w:rsidR="009D09E2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- индивидуальные предприниматели, осуществляющие свою деятельность на территории </w:t>
      </w:r>
      <w:r w:rsidR="009D09E2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- юридические лица, осуществляющие свою деятельность на территории </w:t>
      </w:r>
      <w:r w:rsidR="009D09E2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- социально ориентированные некоммерческие организации, осуществляющие свою деятельность на территории</w:t>
      </w:r>
      <w:r w:rsidR="005A7CF8" w:rsidRPr="005A7CF8">
        <w:rPr>
          <w:rFonts w:ascii="Times New Roman" w:hAnsi="Times New Roman" w:cs="Times New Roman"/>
          <w:sz w:val="28"/>
          <w:szCs w:val="28"/>
        </w:rPr>
        <w:t xml:space="preserve"> </w:t>
      </w:r>
      <w:r w:rsidR="005A7CF8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="00A252C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- староста сельского населенного пункта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 xml:space="preserve"> (далее – инициаторы проекта).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2.2. Инициативный проект должен содержать следующие сведения: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1) описание проблемы, решение которой имеет приоритетное значение для жителей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051E9"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>или его части;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2) обоснование предложений по решению указанной проблемы;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3) описание ожидаемого результата (ожидаемых результатов) реализации инициативного проекта;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4) предварительный расчет необходимых расходов на реализацию инициативного проекта;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4430">
        <w:rPr>
          <w:rFonts w:ascii="Times New Roman" w:hAnsi="Times New Roman" w:cs="Times New Roman"/>
          <w:color w:val="000000"/>
          <w:sz w:val="28"/>
          <w:szCs w:val="28"/>
        </w:rPr>
        <w:t>5) указание на территорию муниципального образования или его часть, в границах которой будет реализовываться инициативный проект;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6) планируемые сроки реализации инициативного проекта;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7)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8) указание на объем средств бюджета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 xml:space="preserve"> 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9) фотоматериалы о текущем состоянии объекта, на котором планируется проведение работ в рамках инициативного проекта.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К инициативному проекту по решению инициаторов проекта могут прилагаться графические и (или) табличные материалы.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2.3. Инициативный проект, выдвигаемый для получения финансовой поддержки за счет межбюджетных трансфертов из бюджета Омской области, должен соответствовать типологии инициативных проектов, установленной в соответствии с постановлением Правительства Омской области от 07.04.2021 №133-п «О конкурсном отборе инициативных проектов на территории Омской области», на тот год, в котором планируется инициативный проект реализовать. </w:t>
      </w:r>
    </w:p>
    <w:p w:rsidR="00044430" w:rsidRPr="00044430" w:rsidRDefault="00044430" w:rsidP="00044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44430" w:rsidRPr="00044430" w:rsidRDefault="00044430" w:rsidP="005051E9">
      <w:pPr>
        <w:numPr>
          <w:ilvl w:val="0"/>
          <w:numId w:val="1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44430">
        <w:rPr>
          <w:rFonts w:ascii="Times New Roman" w:hAnsi="Times New Roman" w:cs="Times New Roman"/>
          <w:bCs/>
          <w:sz w:val="28"/>
          <w:szCs w:val="28"/>
        </w:rPr>
        <w:t xml:space="preserve">Определение части территории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bCs/>
          <w:sz w:val="28"/>
          <w:szCs w:val="28"/>
        </w:rPr>
        <w:t>, в интересах населения которой могут реализовываться инициативные проекты</w:t>
      </w:r>
    </w:p>
    <w:p w:rsidR="00044430" w:rsidRPr="00044430" w:rsidRDefault="00044430" w:rsidP="005051E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4430" w:rsidRPr="00044430" w:rsidRDefault="00044430" w:rsidP="00044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3.1. Инициативные проекты могут реализовываться в интересах населения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051E9"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>в целом, а также в интересах жителей в пределах следующих территорий:</w:t>
      </w:r>
    </w:p>
    <w:p w:rsidR="00044430" w:rsidRPr="00044430" w:rsidRDefault="00044430" w:rsidP="00044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         1) группы многоквартирных домов и (или) жилых домов (в том числе улица, переулок или иной элемент планировочной структуры);</w:t>
      </w:r>
    </w:p>
    <w:p w:rsidR="00044430" w:rsidRPr="00044430" w:rsidRDefault="00044430" w:rsidP="00044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2) границ территории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, на которой осуществляется территориальное общественное самоуправление;</w:t>
      </w:r>
    </w:p>
    <w:p w:rsidR="00044430" w:rsidRPr="00044430" w:rsidRDefault="00044430" w:rsidP="00044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3) населенного пункта, находящегося на территории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;</w:t>
      </w:r>
    </w:p>
    <w:p w:rsidR="00044430" w:rsidRPr="00044430" w:rsidRDefault="00044430" w:rsidP="00044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4) группы населенных пунктов, находящихся на территории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;</w:t>
      </w:r>
    </w:p>
    <w:p w:rsidR="00044430" w:rsidRPr="00044430" w:rsidRDefault="00044430" w:rsidP="00044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5) поселения, входящего в состав</w:t>
      </w:r>
      <w:r w:rsidR="005A7CF8" w:rsidRPr="005A7CF8">
        <w:rPr>
          <w:rFonts w:ascii="Times New Roman" w:hAnsi="Times New Roman" w:cs="Times New Roman"/>
          <w:sz w:val="28"/>
          <w:szCs w:val="28"/>
        </w:rPr>
        <w:t xml:space="preserve"> </w:t>
      </w:r>
      <w:r w:rsidR="005A7CF8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;</w:t>
      </w:r>
    </w:p>
    <w:p w:rsidR="00044430" w:rsidRPr="00044430" w:rsidRDefault="00044430" w:rsidP="00044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6) группы поселений, входящих в состав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.</w:t>
      </w:r>
    </w:p>
    <w:p w:rsidR="00044430" w:rsidRPr="00044430" w:rsidRDefault="00044430" w:rsidP="00044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044430" w:rsidRPr="00044430" w:rsidRDefault="00044430" w:rsidP="005051E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Обсуждение и рассмотрение инициативных проектов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4.1. Инициативный проект до его внесения в Администрацию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 xml:space="preserve"> подлежит обсуждению и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инициативного проекта или поддержан подписями граждан. 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При этом возможно рассмотрение нескольких инициативных проектов на одном сходе, одном собрании или одной конференции граждан.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4.2. После обсуждения и рассмотрения инициативных проектов по ним проводится голосование граждан. По результатам голосования инициативные проекты, получившие поддержку граждан, направляются в Администрацию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i/>
          <w:sz w:val="28"/>
          <w:szCs w:val="28"/>
        </w:rPr>
        <w:t>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4.3. Инициаторы проекта при внесении инициативного проекта в Администрацию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051E9"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>прикладывают к нему соответственно протокол схода, собрания или конференции граждан и (или) подписные листы, подтверждающие поддержку инициативного проекта жителями муниципального образования или его части.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4.4. Инициаторам проекта (их представителям) обеспечивается возможность участия в рассмотрении инициативных проектов и изложении своих позиций по ним на всех этапах конкурсного отбора.</w:t>
      </w: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E9" w:rsidRPr="005051E9" w:rsidRDefault="00044430" w:rsidP="005051E9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51E9">
        <w:rPr>
          <w:rFonts w:ascii="Times New Roman" w:hAnsi="Times New Roman" w:cs="Times New Roman"/>
          <w:sz w:val="28"/>
          <w:szCs w:val="28"/>
        </w:rPr>
        <w:t xml:space="preserve">Внесение инициативных проектов в Администрацию </w:t>
      </w:r>
    </w:p>
    <w:p w:rsidR="00044430" w:rsidRDefault="005A7CF8" w:rsidP="005051E9">
      <w:pPr>
        <w:pStyle w:val="a6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</w:t>
      </w:r>
      <w:r w:rsidRPr="005051E9">
        <w:rPr>
          <w:rFonts w:ascii="Times New Roman" w:hAnsi="Times New Roman" w:cs="Times New Roman"/>
          <w:sz w:val="28"/>
          <w:szCs w:val="28"/>
        </w:rPr>
        <w:t xml:space="preserve"> </w:t>
      </w:r>
      <w:r w:rsidR="005051E9" w:rsidRPr="005051E9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051E9" w:rsidRPr="005051E9" w:rsidRDefault="005051E9" w:rsidP="005051E9">
      <w:pPr>
        <w:pStyle w:val="a6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5.1. Для проведения конкурсного отбора инициативных проектов Администрацией</w:t>
      </w:r>
      <w:r w:rsidR="005A7CF8" w:rsidRPr="005A7CF8">
        <w:rPr>
          <w:rFonts w:ascii="Times New Roman" w:hAnsi="Times New Roman" w:cs="Times New Roman"/>
          <w:sz w:val="28"/>
          <w:szCs w:val="28"/>
        </w:rPr>
        <w:t xml:space="preserve"> </w:t>
      </w:r>
      <w:r w:rsidR="005A7CF8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051E9"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>устанавливаются даты и время приема инициативных проектов.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Данная информация, а также информация о сроках проведения конкурсного отбора размещаются на официальном сайте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5.2. Инициаторы проекта при внесении инициативного проекта в Администрацию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051E9"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 xml:space="preserve">прикладывают к нему документы, подтверждающие поддержку инициативного проекта жителями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051E9"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>или его части.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5.3. Администрация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051E9"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 xml:space="preserve">на основании проведенного технического анализа, принимает решение о поддержке инициативного проекта и продолжении работы над ним в пределах бюджетных ассигнований, предусмотренных решением о бюджете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051E9"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 xml:space="preserve">на соответствующие цели и (или) в соответствии с порядком составления и рассмотрения проекта бюджета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051E9"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 xml:space="preserve">(внесение изменений  в решение о  бюджете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 xml:space="preserve">), а также в целях выдвижения для получения финансовой поддержки за счет межбюджетных трансфертов из бюджета Омской области, или решение об отказе в поддержке инициативного проекта и о возврате его инициаторам проекта с указанием причин отказа в соответствии с пунктом 5.4. настоящего Положения. 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5.4. Администрация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051E9"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>принимает решение об отказе в поддержке инициативного проекта в одном из следующих случаев: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- несоблюдение установленного настоящим Положением порядка выдвижения, обсуждения, внесения инициативного проекта и его рассмотрения;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-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Омской области, Уставу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051E9"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 xml:space="preserve">и нормативным правовым актам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i/>
          <w:sz w:val="28"/>
          <w:szCs w:val="28"/>
        </w:rPr>
        <w:t>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- невозможность реализации инициативного проекта ввиду отсутствия у муниципального образования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051E9"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>необходимых полномочий и прав;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- отсутствие средств бюджета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051E9"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>в объеме, необходимом для реализации инициативного проекта, источником формирования которых не являются инициативные платежи;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- наличие возможности решения описанной в инициативном проекте проблемы более эффективным способом;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- признание инициативного проекта не прошедшим конкурсный отбор инициативных проектов.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5051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6. Утверждение инициативных проектов для реализации в соответствии с балльной шкалой оценки инициативных проектов, в том числе в целях их выдвижения для получения финансовой поддержки за счет межбюджетных трансфертов из бюджета Омской области</w:t>
      </w:r>
    </w:p>
    <w:p w:rsidR="00044430" w:rsidRPr="00044430" w:rsidRDefault="00044430" w:rsidP="00505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6.1. Для утверждения результатов конкурсного отбора инициативных проектов граждан, в отношении которых принято решение о поддержке, Администрацией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051E9"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>образуется конкурсная комиссия, которая состоит из восьми человек.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6.2. Рассмотрение инициативных проектов на заседании конкурсной комиссии производится в соответствии с балльной шкалой оценки инициативных проектов (Приложение).</w:t>
      </w:r>
    </w:p>
    <w:p w:rsidR="00044430" w:rsidRPr="00044430" w:rsidRDefault="00044430" w:rsidP="000444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На основе проведенной оценки Конкурсная комиссия формирует ранжированный перечень инициативных проектов в порядке убывания набранных ими суммарных баллов и присваивает им соответствующие порядковые номера (далее - итоговый рейтинг инициативных проектов).</w:t>
      </w:r>
    </w:p>
    <w:p w:rsidR="00044430" w:rsidRPr="00044430" w:rsidRDefault="00044430" w:rsidP="000444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Если несколько инициативных проектов набрали одинаковое количество баллов, то меньший порядковый номер присваивается инициативному проекту, на реализацию которого требуется меньший объем субсидии.</w:t>
      </w:r>
    </w:p>
    <w:p w:rsidR="00044430" w:rsidRPr="00044430" w:rsidRDefault="00044430" w:rsidP="000444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При одинаковом объеме средств, требуемых на реализацию инициативных проектов, меньший порядковый номер присваивается инициативному проекту, предусматривающему привлечение большего объема инициативных платежей.</w:t>
      </w:r>
    </w:p>
    <w:p w:rsidR="00044430" w:rsidRPr="00044430" w:rsidRDefault="00044430" w:rsidP="000444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По результатам голосования членов конкурсной комиссии, утверждается итоговый рейтинг инициативных проектов. 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6.3. Персональный состав конкурсной комиссии утверждается Администрацией</w:t>
      </w:r>
      <w:r w:rsidR="005A7CF8" w:rsidRPr="005A7CF8">
        <w:rPr>
          <w:rFonts w:ascii="Times New Roman" w:hAnsi="Times New Roman" w:cs="Times New Roman"/>
          <w:sz w:val="28"/>
          <w:szCs w:val="28"/>
        </w:rPr>
        <w:t xml:space="preserve"> </w:t>
      </w:r>
      <w:r w:rsidR="005A7CF8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Половина от общего числа членов конкурсной комиссии должна быть назначена на основе предложений Совета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В состав конкурсной комиссии Администрации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 xml:space="preserve"> могут быть включены представители общественных организаций по согласованию.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Конкурсная комиссия состоит из председателя, заместителя председателя, секретаря конкурсной комиссии и членов конкурсной комиссии.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6.4. Основными задачами конкурсной комиссии является: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- принятие решения по итоговому рейтингу инициативных проектов на основании балльной шкалы оценки инициативных проектов и подготовка муниципального акта об итогах конкурсного отбора инициативных проектов;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- принятие решения об отборе инициативных проектов в целях выдвижения для получения финансовой поддержки за счет межбюджетных трансфертов из бюджета Омской области по итогам  конкурсного отбора инициативных проектов и подготовка соответствующего муниципального акта.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6.5. Заседание конкурсной комиссии считается правомочным при условии присутствия на нем не менее двух третей от установленной численности конкурсной комиссии. Решение конкурсной комиссии о результатах конкурсного отбора (далее - решение конкурсной комиссии) принимается в отсутствие инициаторов проекта, подавших заявку, и оформляется протоколом заседания конкурсной комиссии.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6.6. Председатель конкурсной комиссии: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1) организует работу конкурсной комиссии, руководит деятельностью конкурсной комиссии;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2) формирует проект повестки очередного заседания конкурсной комиссии;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3) дает поручения членам конкурсной комиссии в рамках заседания конкурсной комиссии;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4) председательствует на заседаниях конкурсной комиссии.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При отсутствии председателя конкурсной комиссии его полномочия исполняет заместитель председателя конкурсной комиссии.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6.7. Секретарь конкурсной комиссии: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1) осуществляет информационное и документационное обеспечение деятельности конкурсной комиссии, в том числе подготовку к заседанию конкурсной комиссии;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2) оповещает членов конкурсной комиссии о дате, месте проведения очередного заседания конкурсной комиссии и повестке очередного заседания конкурсной комиссии;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3) оформляет протоколы заседаний конкурсной комиссии.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6.8. Член конкурсной комиссии: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1) участвует в работе конкурсной комиссии, в том числе в заседаниях конкурсной комиссии;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2) вносит предложения по вопросам работы конкурсной комиссии;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3) знакомится с документами и материалами, рассматриваемыми на заседаниях конкурсной комиссии;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4) голосует на заседаниях конкурсной комиссии.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6.9. Решение конкурсной комиссии принимается открытым голосованием простым большинством голосов от числа присутствующих на заседании членов конкурсной комиссии. При равенстве голосов решающим является голос председательствующего на заседании конкурсной комиссии.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Члены конкурсной комиссии обладают равными правами при обсуждении вопросов о принятии решений.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6.10. Результаты рассмотрения инициативных проектов отражаются в протоколе заседания Конкурсной комиссии, в котором исходя из итогового рейтинга инициативных проектов указывается общий объем средств, необходимый для реализации каждого инициативного проекта, размер финансовой помощи из областного бюджета, собственных средств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, инициативных платежей, планируемых для привлечения на реализацию каждого инициативного проекта, планируемые формы нефинансового участия юридических лиц, индивидуальных предпринимателей в реализации инициативного проекта.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Кроме указанных  в абзаце первом настоящего пункта данных, протокол заседания конкурсной комиссии должен содержать следующие данные: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- время, дату и место проведения заседания конкурсной комиссии;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- фамилии и инициалы членов конкурсной комиссии и приглашенных на заседание конкурсной комиссии;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- инициативные проекты, прошедшие конкурсный отбор и подлежащие финансированию из бюджета</w:t>
      </w:r>
      <w:r w:rsidR="005A7CF8" w:rsidRPr="005A7CF8">
        <w:rPr>
          <w:rFonts w:ascii="Times New Roman" w:hAnsi="Times New Roman" w:cs="Times New Roman"/>
          <w:sz w:val="28"/>
          <w:szCs w:val="28"/>
        </w:rPr>
        <w:t xml:space="preserve"> </w:t>
      </w:r>
      <w:r w:rsidR="005A7CF8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- инициативные проекты, прошедшие отбор в целях выдвижения для получения финансовой поддержки за счет межбюджетных трансфертов из бюджета Омской области;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- решение о направление инициативного проекта на конкурсный отбор, проводимый Омской областью, в случае принятия решения о необходимости привлечения  финансовой поддержки за счет межбюджетных трансфертов из бюджета Омской области.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Протокол заседания конкурсной комиссии подписывается председателем конкурсной комиссии и секретарем конкурсной комиссии в течение трех  рабочих дней со дня проведения заседания конкурсной комиссии.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6.11. Победителем (победителями) конкурсного отбора признается (признаются) инициативный проект (инициативные проекты), получивший (получившие) наибольшее количество баллов при их оценке в соответствии с балльной шкалой и баллов, полученных при голосовании членов конкурсной комиссии, для его (их) последующей реализации в пределах объема бюджетных ассигнований, утвержденных решением о бюджете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051E9"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>на очередной финансовый год (на очередной финансовый год и плановый период), на реализацию инициативных проектов, а также в целях выдвижения для получения финансовой поддержки за счет межбюджетных трансфертов из бюджета Омской области.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6.12. Муниципальный акт об итогах конкурсного отбора инициативных проектов, по каждому инициативному проекту, признанному победителем конкурсного отбора,  должен содержать:</w:t>
      </w: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          1) наименование инициативного проекта;</w:t>
      </w: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          2) наименование объекта, который должен быть создан в результате реализации инициативного проекта (с указанием адреса или местоположения), или наименование мероприятия, на реализацию которого направлен инициативный проект;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3) направление расходования средств бюджета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 xml:space="preserve"> (строительство, реконструкция, приобретение, проведение мероприятия (мероприятий), иное);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4) наименование главного распорядителя средств бюджета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, реализующий инициативный проект;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5) срок реализации инициативного проекта (срок ввода в эксплуатацию (приобретения) объекта, реализации мероприятия (мероприятий);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6) предполагаемая (предельная) стоимость объекта или предельный объем средств на проведение мероприятия (мероприятий) с указанием  объема инициативных платежей;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7) распределение по годам реализации предполагаемой (предельной) стоимости объекта или предельного объема средств на проведение мероприятия (мероприятий) с указанием объема инициативных платежей.</w:t>
      </w: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5051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7. Участие инициаторов проекта в реализации инициативных проектов</w:t>
      </w: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7.1. Инициаторы проекта (их представители) вправе принимать участие в реализации инициативных проектов в соответствии с настоящим Положением.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7.2. Инициаторы проекта (их представители) согласовывают техническое задание на заключение муниципального контракта по реализации инициативного проекта. 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Согласование технического задания на заключение муниципального контракта по реализации инициативного проекта, а также приемка результатов работ по реализованному инициативному проекту оформляется актом, подписываемым, в том числе инициаторами проекта (их представителями).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7.3. Инициативные платежи физических и юридических лиц  вносятся на счет бюджета </w:t>
      </w:r>
      <w:r w:rsidR="005A7CF8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051E9"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 xml:space="preserve">не позднее 20 рабочих дней со дня опубликования итогов конкурсного отбора в информационно-телекоммуникационной сети «Интернет» на официальном сайте органов местного самоуправления </w:t>
      </w:r>
      <w:r w:rsidR="00AB253E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051E9"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>при условии признания инициативного проекта победителем.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В случае, если реализация инициативного проекта планировалась за счет привлечения межбюджетных трансфертов из бюджета Омской области, инициативные платежи физических и юридических лиц вносятся на счет бюджета </w:t>
      </w:r>
      <w:r w:rsidR="00AB253E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051E9" w:rsidRPr="00044430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>не позднее 20 рабочих дней со дня опубликования итогов конкурсного отбора инициативных проектов на территории Омской области при условии признания инициативного проекта победителем и получения информации о финансовой поддержке за счет межбюджетных трансфертов из бюджета Омской области.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Внесение инициативных платежей физических и юридических лиц  в указанные сроки обеспечивает инициатор проекта. В случае, если инициативные платежи физических и юридических лиц  не поступили в указанные сроки, инициативный проект снимается с реализации и может быть повторно направлен в Администрацию </w:t>
      </w:r>
      <w:r w:rsidR="00AB253E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 xml:space="preserve"> при объявлении следующего конкурсного отбора инициативных проектов.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7.4. В случаях, если инициативный проект не был реализован, образования остатка инициативных платежей, не использованных в целях реализации инициативного проекта, инициативные платежи возвращаются лицам, осуществившим их перечисление в бюджет </w:t>
      </w:r>
      <w:r w:rsidR="00EF12A0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Порядок расчета и возврата сумм инициативных платежей, подлежащих возврату физическим лицам и юридическим лицам, осуществившим их перечисление в бюджет </w:t>
      </w:r>
      <w:r w:rsidR="00EF12A0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 xml:space="preserve">, устанавливается нормативным правовым актом Совета </w:t>
      </w:r>
      <w:r w:rsidR="00EF12A0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7.5. 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7.6. Отчет о ходе и итогах реализации инициативного проекта подлежит размещению на официальном сайте </w:t>
      </w:r>
      <w:r w:rsidR="00EF12A0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5051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 xml:space="preserve"> в</w:t>
      </w:r>
      <w:r w:rsidRPr="000444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Интернет в течение 30 календарных дней со дня заве</w:t>
      </w:r>
      <w:bookmarkStart w:id="0" w:name="_GoBack"/>
      <w:bookmarkEnd w:id="0"/>
      <w:r w:rsidRPr="00044430">
        <w:rPr>
          <w:rFonts w:ascii="Times New Roman" w:hAnsi="Times New Roman" w:cs="Times New Roman"/>
          <w:sz w:val="28"/>
          <w:szCs w:val="28"/>
        </w:rPr>
        <w:t>ршения реализации инициативного проекта.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EF12A0" w:rsidP="00EF12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044430" w:rsidRPr="00044430">
        <w:rPr>
          <w:rFonts w:ascii="Times New Roman" w:hAnsi="Times New Roman" w:cs="Times New Roman"/>
          <w:sz w:val="28"/>
          <w:szCs w:val="28"/>
        </w:rPr>
        <w:t>Приложение</w:t>
      </w:r>
    </w:p>
    <w:p w:rsidR="005051E9" w:rsidRDefault="00044430" w:rsidP="005051E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к Положению о порядке выдвижения, </w:t>
      </w:r>
    </w:p>
    <w:p w:rsidR="005051E9" w:rsidRDefault="00044430" w:rsidP="005051E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внесения,</w:t>
      </w:r>
      <w:r w:rsidR="005051E9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>обсуждения, рассмотрения</w:t>
      </w:r>
    </w:p>
    <w:p w:rsidR="005051E9" w:rsidRDefault="00044430" w:rsidP="005051E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 инициативных</w:t>
      </w:r>
      <w:r w:rsidR="005051E9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>проектов,</w:t>
      </w:r>
      <w:r w:rsidR="005051E9">
        <w:rPr>
          <w:rFonts w:ascii="Times New Roman" w:hAnsi="Times New Roman" w:cs="Times New Roman"/>
          <w:sz w:val="28"/>
          <w:szCs w:val="28"/>
        </w:rPr>
        <w:t xml:space="preserve"> </w:t>
      </w:r>
      <w:r w:rsidRPr="00044430">
        <w:rPr>
          <w:rFonts w:ascii="Times New Roman" w:hAnsi="Times New Roman" w:cs="Times New Roman"/>
          <w:sz w:val="28"/>
          <w:szCs w:val="28"/>
        </w:rPr>
        <w:t xml:space="preserve">а также </w:t>
      </w:r>
    </w:p>
    <w:p w:rsidR="00044430" w:rsidRPr="00044430" w:rsidRDefault="00044430" w:rsidP="005051E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проведения их конкурсного отбора</w:t>
      </w:r>
    </w:p>
    <w:p w:rsidR="00044430" w:rsidRPr="00044430" w:rsidRDefault="00044430" w:rsidP="005051E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5051E9" w:rsidP="00A252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Балльная шкала</w:t>
      </w:r>
    </w:p>
    <w:p w:rsidR="00044430" w:rsidRPr="00044430" w:rsidRDefault="00A252C2" w:rsidP="00A252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оценки</w:t>
      </w:r>
      <w:r w:rsidR="00044430" w:rsidRPr="00044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инициативных</w:t>
      </w:r>
      <w:r w:rsidR="00044430" w:rsidRPr="00044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проектов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Оценка инициативных проектов определяется по следующим критериям: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835"/>
        <w:gridCol w:w="3402"/>
        <w:gridCol w:w="4111"/>
      </w:tblGrid>
      <w:tr w:rsidR="00A252C2" w:rsidRPr="00044430" w:rsidTr="00A252C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A252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№</w:t>
            </w:r>
            <w:r w:rsidRPr="00A252C2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A252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Наименование критерия отбора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A252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Наименование показателя оценки критерия отбора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430" w:rsidRPr="00A252C2" w:rsidRDefault="00044430" w:rsidP="00A252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Количественный показатель оценки критерия отбора</w:t>
            </w:r>
          </w:p>
        </w:tc>
      </w:tr>
      <w:tr w:rsidR="00044430" w:rsidRPr="00044430" w:rsidTr="00A252C2">
        <w:trPr>
          <w:trHeight w:val="338"/>
        </w:trPr>
        <w:tc>
          <w:tcPr>
            <w:tcW w:w="1091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 xml:space="preserve">                         Социальная эффективность реализации инициативного проекта</w:t>
            </w:r>
          </w:p>
        </w:tc>
      </w:tr>
      <w:tr w:rsidR="00A252C2" w:rsidRPr="00044430" w:rsidTr="00A252C2">
        <w:trPr>
          <w:trHeight w:val="2551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4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1</w:t>
            </w:r>
          </w:p>
          <w:p w:rsidR="00044430" w:rsidRPr="00A252C2" w:rsidRDefault="00044430" w:rsidP="00044430">
            <w:pPr>
              <w:pStyle w:val="a4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Актуальность, социальная значимость, экономическая эффективность инициативного проекта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Доля населения, принявшая участие в выдвижении инициативного проекта, в общей численности населения населенного пункта или части его территории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430" w:rsidRPr="00A252C2" w:rsidRDefault="00044430" w:rsidP="00A252C2">
            <w:pPr>
              <w:pStyle w:val="a5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Более 30 процентов - 100 баллов;</w:t>
            </w:r>
          </w:p>
          <w:p w:rsidR="00044430" w:rsidRPr="00A252C2" w:rsidRDefault="00044430" w:rsidP="00A252C2">
            <w:pPr>
              <w:pStyle w:val="a5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от 20 до 30 процентов включительно - 70 баллов;</w:t>
            </w:r>
          </w:p>
          <w:p w:rsidR="00044430" w:rsidRPr="00A252C2" w:rsidRDefault="00044430" w:rsidP="00A252C2">
            <w:pPr>
              <w:pStyle w:val="a5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от 10 до 20 процентов - 50 баллов;</w:t>
            </w:r>
          </w:p>
          <w:p w:rsidR="00044430" w:rsidRPr="00A252C2" w:rsidRDefault="00044430" w:rsidP="00A252C2">
            <w:pPr>
              <w:pStyle w:val="a5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от 5 до 10 процентов - 30 баллов;</w:t>
            </w:r>
          </w:p>
          <w:p w:rsidR="00044430" w:rsidRPr="00A252C2" w:rsidRDefault="00044430" w:rsidP="00A252C2">
            <w:pPr>
              <w:pStyle w:val="a5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до 5 процентов - 10 баллов</w:t>
            </w:r>
          </w:p>
        </w:tc>
      </w:tr>
      <w:tr w:rsidR="00A252C2" w:rsidRPr="00044430" w:rsidTr="00A252C2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044430" w:rsidRPr="00A252C2" w:rsidRDefault="00044430" w:rsidP="0004443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Доля благополучателей (человек) в общей численности населения населенного пункта или его части, которые будут регулярно (не реже одного раза в месяц) пользоваться результатами реализованного инициативного проекта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От 80 до 100 процентов - 50 баллов;</w:t>
            </w:r>
          </w:p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от 50 до 80 процентов - 30 баллов;</w:t>
            </w:r>
          </w:p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от 20 до 50 процентов - 20 баллов;</w:t>
            </w:r>
          </w:p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до 20 процентов - 10 баллов</w:t>
            </w:r>
          </w:p>
        </w:tc>
      </w:tr>
      <w:tr w:rsidR="00A252C2" w:rsidRPr="00044430" w:rsidTr="00A252C2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044430" w:rsidRPr="00A252C2" w:rsidRDefault="00044430" w:rsidP="0004443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Наличие механизма содержания и эксплуатации объекта общественной инфраструктуры результата реализации инициативного проекта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Наличие - 100 баллов; отсутствие - 0 баллов</w:t>
            </w:r>
          </w:p>
        </w:tc>
      </w:tr>
      <w:tr w:rsidR="00A252C2" w:rsidRPr="00044430" w:rsidTr="00A252C2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044430" w:rsidRPr="00A252C2" w:rsidRDefault="00044430" w:rsidP="0004443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Участие в подготовке и обсуждении инициативных проектов людей с ограниченными возможностями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В случае,  если участие людей с ограниченными возможностями документально подтверждено  - 30 баллов;</w:t>
            </w:r>
          </w:p>
          <w:p w:rsidR="00044430" w:rsidRPr="00A252C2" w:rsidRDefault="00044430" w:rsidP="00044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C2">
              <w:rPr>
                <w:rFonts w:ascii="Times New Roman" w:hAnsi="Times New Roman" w:cs="Times New Roman"/>
                <w:sz w:val="24"/>
                <w:szCs w:val="24"/>
              </w:rPr>
              <w:t>отсутствие – 0 баллов</w:t>
            </w:r>
          </w:p>
        </w:tc>
      </w:tr>
      <w:tr w:rsidR="00A252C2" w:rsidRPr="00044430" w:rsidTr="00A252C2">
        <w:trPr>
          <w:trHeight w:val="1840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044430" w:rsidRPr="00A252C2" w:rsidRDefault="00044430" w:rsidP="0004443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Направленность и доступность инициативного проекта для людей с ограниченными возможностями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430" w:rsidRPr="00A252C2" w:rsidRDefault="00044430" w:rsidP="00044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C2">
              <w:rPr>
                <w:rFonts w:ascii="Times New Roman" w:hAnsi="Times New Roman" w:cs="Times New Roman"/>
                <w:sz w:val="24"/>
                <w:szCs w:val="24"/>
              </w:rPr>
              <w:t>В случае, если инициативный проект направлен на решение проблем людей с ограниченными возможностями или доступен для них - 30 баллов</w:t>
            </w:r>
          </w:p>
        </w:tc>
      </w:tr>
      <w:tr w:rsidR="00A252C2" w:rsidRPr="00044430" w:rsidTr="00A252C2">
        <w:trPr>
          <w:trHeight w:val="1183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Срок реализации инициативного проекта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430" w:rsidRPr="00A252C2" w:rsidRDefault="00044430" w:rsidP="00044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C2">
              <w:rPr>
                <w:rFonts w:ascii="Times New Roman" w:hAnsi="Times New Roman" w:cs="Times New Roman"/>
                <w:sz w:val="24"/>
                <w:szCs w:val="24"/>
              </w:rPr>
              <w:t>До одного календарного года – 30 баллов;</w:t>
            </w:r>
          </w:p>
          <w:p w:rsidR="00044430" w:rsidRPr="00A252C2" w:rsidRDefault="00044430" w:rsidP="00044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C2">
              <w:rPr>
                <w:rFonts w:ascii="Times New Roman" w:hAnsi="Times New Roman" w:cs="Times New Roman"/>
                <w:sz w:val="24"/>
                <w:szCs w:val="24"/>
              </w:rPr>
              <w:t>до двух календарных лет – 20 баллов;</w:t>
            </w:r>
          </w:p>
          <w:p w:rsidR="00044430" w:rsidRPr="00A252C2" w:rsidRDefault="00044430" w:rsidP="00044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C2">
              <w:rPr>
                <w:rFonts w:ascii="Times New Roman" w:hAnsi="Times New Roman" w:cs="Times New Roman"/>
                <w:sz w:val="24"/>
                <w:szCs w:val="24"/>
              </w:rPr>
              <w:t>до 3 календарных лет – 10 баллов</w:t>
            </w:r>
          </w:p>
        </w:tc>
      </w:tr>
      <w:tr w:rsidR="00044430" w:rsidRPr="00044430" w:rsidTr="00A252C2">
        <w:trPr>
          <w:trHeight w:val="276"/>
        </w:trPr>
        <w:tc>
          <w:tcPr>
            <w:tcW w:w="1091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 xml:space="preserve">                                         Экономическая эффективность реализации инициативного проекта</w:t>
            </w:r>
          </w:p>
        </w:tc>
      </w:tr>
      <w:tr w:rsidR="00A252C2" w:rsidRPr="00044430" w:rsidTr="00A252C2">
        <w:trPr>
          <w:trHeight w:val="1928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4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Уровень софинансирования со стороны физических лиц и (или) юридических лиц, вносимых в целях софинансирования реализации инициативного проекта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Отношение объема инициативных платежей физических лиц в софинансировании инициативного проекта к общей стоимости инициативного проекта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Более 5 процентов - 100 баллов;</w:t>
            </w:r>
          </w:p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от 3 до 5 процентов включительно - 80 баллов;</w:t>
            </w:r>
          </w:p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от 1 до 3 процентов - 60 баллов;</w:t>
            </w:r>
          </w:p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до 1 процента - 40 баллов</w:t>
            </w:r>
          </w:p>
        </w:tc>
      </w:tr>
      <w:tr w:rsidR="00A252C2" w:rsidRPr="00044430" w:rsidTr="00A252C2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Отношение объема инициативных платежей индивидуальных предпринимателей и юридических лиц, направляемых на реализацию проекта, к общей стоимости инициативного проекта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Более 10 процентов - 100 баллов;</w:t>
            </w:r>
          </w:p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от 5 до 10 процентов включительно - 70 баллов;</w:t>
            </w:r>
          </w:p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от 2 до 5 процентов - 50 баллов;</w:t>
            </w:r>
          </w:p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от 1 до 2 процентов - 40 баллов;</w:t>
            </w:r>
          </w:p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до 1 процента - 30 баллов</w:t>
            </w:r>
          </w:p>
        </w:tc>
      </w:tr>
      <w:tr w:rsidR="00A252C2" w:rsidRPr="00044430" w:rsidTr="00A252C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4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Степень участия физических лиц и (или) юридических лиц в нефинансовой форме в реализации инициативного проекта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Количество граждан, юридических лиц изъявивших желание принять нефинансовое участие в реализации инициативного проекта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Более 30 человек/юридических лиц - 100 баллов;</w:t>
            </w:r>
          </w:p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от 20 до 30 человек/юридических лиц включительно - 70 баллов;</w:t>
            </w:r>
          </w:p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от 10 до 20 человек/юридических лиц - 50 баллов;</w:t>
            </w:r>
          </w:p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от 5 до 10 человек/юридических лиц - 20 баллов;</w:t>
            </w:r>
          </w:p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от 1 до 5 человек/юридических лиц - 10 баллов</w:t>
            </w:r>
          </w:p>
        </w:tc>
      </w:tr>
      <w:tr w:rsidR="00A252C2" w:rsidRPr="00044430" w:rsidTr="00A252C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4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  <w:bCs/>
                <w:color w:val="000000"/>
              </w:rPr>
              <w:t>Качество подготовки документов для участия в конкурсном отборе инициативного проекта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A252C2">
              <w:rPr>
                <w:rFonts w:ascii="Times New Roman" w:hAnsi="Times New Roman" w:cs="Times New Roman"/>
                <w:bCs/>
                <w:color w:val="000000"/>
              </w:rPr>
              <w:t>Наличие приложенной к заявке проектно-сметной (сметной) документации (по строительству (реконструкции), капитальному ремонту, ремонту объектов)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430" w:rsidRPr="00A252C2" w:rsidRDefault="00044430" w:rsidP="00044430">
            <w:pPr>
              <w:pStyle w:val="a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52C2">
              <w:rPr>
                <w:rFonts w:ascii="Times New Roman" w:hAnsi="Times New Roman" w:cs="Times New Roman"/>
              </w:rPr>
              <w:t>Проектно-сметная (сметная) документация</w:t>
            </w:r>
            <w:r w:rsidRPr="00A252C2">
              <w:rPr>
                <w:rFonts w:ascii="Times New Roman" w:hAnsi="Times New Roman" w:cs="Times New Roman"/>
                <w:color w:val="000000"/>
              </w:rPr>
              <w:t xml:space="preserve"> приложена или необходимость в проектно-сметной (сметной) документации отсутствует – 30 баллов;</w:t>
            </w:r>
          </w:p>
          <w:p w:rsidR="00044430" w:rsidRPr="00A252C2" w:rsidRDefault="00044430" w:rsidP="00044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C2">
              <w:rPr>
                <w:rFonts w:ascii="Times New Roman" w:hAnsi="Times New Roman" w:cs="Times New Roman"/>
                <w:sz w:val="24"/>
                <w:szCs w:val="24"/>
              </w:rPr>
              <w:t>отсутствие - 0 баллов</w:t>
            </w:r>
          </w:p>
        </w:tc>
      </w:tr>
    </w:tbl>
    <w:p w:rsidR="00A252C2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443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A252C2" w:rsidRDefault="00A252C2" w:rsidP="000444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52C2" w:rsidRDefault="00A252C2" w:rsidP="000444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52C2" w:rsidRDefault="00A252C2" w:rsidP="000444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52C2" w:rsidRDefault="00A252C2" w:rsidP="000444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52C2" w:rsidRDefault="00A252C2" w:rsidP="000444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52C2" w:rsidRDefault="00A252C2" w:rsidP="000444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4430" w:rsidRPr="00A252C2" w:rsidRDefault="00044430" w:rsidP="00A252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52C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44430" w:rsidRPr="00044430" w:rsidRDefault="00044430" w:rsidP="00A252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к проекту решения Совета </w:t>
      </w:r>
      <w:r w:rsidR="00EF12A0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A252C2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44430" w:rsidRPr="00044430" w:rsidRDefault="00044430" w:rsidP="00A252C2">
      <w:pPr>
        <w:pStyle w:val="Default"/>
        <w:jc w:val="center"/>
        <w:rPr>
          <w:sz w:val="28"/>
          <w:szCs w:val="28"/>
        </w:rPr>
      </w:pPr>
      <w:r w:rsidRPr="00044430">
        <w:rPr>
          <w:sz w:val="28"/>
          <w:szCs w:val="28"/>
        </w:rPr>
        <w:t xml:space="preserve">«Об утверждении Положения о порядке выдвижения, внесения, обсуждения, рассмотрения инициативных проектов, а также проведения их конкурсного отбора на территории </w:t>
      </w:r>
      <w:r w:rsidR="00EF12A0">
        <w:rPr>
          <w:sz w:val="28"/>
          <w:szCs w:val="28"/>
        </w:rPr>
        <w:t xml:space="preserve">Новопокровского </w:t>
      </w:r>
      <w:r w:rsidR="00A252C2">
        <w:rPr>
          <w:sz w:val="28"/>
          <w:szCs w:val="28"/>
        </w:rPr>
        <w:t>сельского поселения</w:t>
      </w:r>
      <w:r w:rsidRPr="00044430">
        <w:rPr>
          <w:sz w:val="28"/>
          <w:szCs w:val="28"/>
        </w:rPr>
        <w:t>»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A252C2">
        <w:rPr>
          <w:rFonts w:ascii="Times New Roman" w:hAnsi="Times New Roman" w:cs="Times New Roman"/>
          <w:sz w:val="28"/>
          <w:szCs w:val="28"/>
        </w:rPr>
        <w:t xml:space="preserve">           «</w:t>
      </w:r>
      <w:r w:rsidR="00C21737">
        <w:rPr>
          <w:rFonts w:ascii="Times New Roman" w:hAnsi="Times New Roman" w:cs="Times New Roman"/>
          <w:sz w:val="28"/>
          <w:szCs w:val="28"/>
        </w:rPr>
        <w:t xml:space="preserve">29»  сентября </w:t>
      </w:r>
      <w:r w:rsidR="00A252C2">
        <w:rPr>
          <w:rFonts w:ascii="Times New Roman" w:hAnsi="Times New Roman" w:cs="Times New Roman"/>
          <w:sz w:val="28"/>
          <w:szCs w:val="28"/>
        </w:rPr>
        <w:t xml:space="preserve"> 2022</w:t>
      </w:r>
      <w:r w:rsidRPr="0004443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44430" w:rsidRPr="00044430" w:rsidRDefault="00044430" w:rsidP="00044430">
      <w:pPr>
        <w:spacing w:after="0" w:line="240" w:lineRule="auto"/>
        <w:ind w:firstLine="68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4430" w:rsidRPr="00044430" w:rsidRDefault="00044430" w:rsidP="00044430">
      <w:pPr>
        <w:pStyle w:val="Default"/>
        <w:jc w:val="both"/>
        <w:rPr>
          <w:sz w:val="28"/>
          <w:szCs w:val="28"/>
        </w:rPr>
      </w:pPr>
      <w:r w:rsidRPr="00044430">
        <w:rPr>
          <w:sz w:val="28"/>
          <w:szCs w:val="28"/>
        </w:rPr>
        <w:t xml:space="preserve">       </w:t>
      </w:r>
    </w:p>
    <w:p w:rsidR="00044430" w:rsidRPr="00044430" w:rsidRDefault="00044430" w:rsidP="00044430">
      <w:pPr>
        <w:pStyle w:val="Default"/>
        <w:tabs>
          <w:tab w:val="left" w:pos="709"/>
        </w:tabs>
        <w:jc w:val="both"/>
        <w:rPr>
          <w:i/>
          <w:iCs/>
          <w:sz w:val="28"/>
          <w:szCs w:val="28"/>
        </w:rPr>
      </w:pPr>
      <w:r w:rsidRPr="00044430">
        <w:rPr>
          <w:sz w:val="28"/>
          <w:szCs w:val="28"/>
        </w:rPr>
        <w:t xml:space="preserve">          Положение о порядке выдвижения, внесения, обсуждения, рассмотрения инициативных проектов, а также проведения их конкурсного отбора на территории </w:t>
      </w:r>
      <w:r w:rsidR="00EF12A0">
        <w:rPr>
          <w:sz w:val="28"/>
          <w:szCs w:val="28"/>
        </w:rPr>
        <w:t xml:space="preserve">Новопокровского </w:t>
      </w:r>
      <w:r w:rsidR="00A252C2">
        <w:rPr>
          <w:sz w:val="28"/>
          <w:szCs w:val="28"/>
        </w:rPr>
        <w:t>сельского поселения</w:t>
      </w:r>
      <w:r w:rsidR="00A252C2" w:rsidRPr="00044430">
        <w:rPr>
          <w:sz w:val="28"/>
          <w:szCs w:val="28"/>
        </w:rPr>
        <w:t xml:space="preserve"> </w:t>
      </w:r>
      <w:r w:rsidRPr="00044430">
        <w:rPr>
          <w:sz w:val="28"/>
          <w:szCs w:val="28"/>
        </w:rPr>
        <w:t>разработано в соответствии со статьей 26.1  Федерального закона от 6 октября 2003 года № 131-ФЗ «Об общих принципах организации местного самоуправления в Российской Федерации», постановлением Правительства Омской области от 07.04.2021 №133-п «О конкурсном отборе инициативных проектов на территории Омской области», с учетом  Методических рекомендации по подготовке и реализации практик инициативного бюджетирования в Российской Федерации, подготовленных Минфином России.</w:t>
      </w:r>
      <w:r w:rsidRPr="00044430">
        <w:rPr>
          <w:i/>
          <w:iCs/>
          <w:sz w:val="28"/>
          <w:szCs w:val="28"/>
        </w:rPr>
        <w:t xml:space="preserve"> </w:t>
      </w: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Положение предусматривает:</w:t>
      </w: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- порядок выдвижения инициативных проектов;</w:t>
      </w: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     - порядок обсуждения и рассмотрения инициативных проектов  до внесения их в Администрацию </w:t>
      </w:r>
      <w:r w:rsidR="00EF12A0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A252C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;</w:t>
      </w:r>
    </w:p>
    <w:p w:rsidR="00044430" w:rsidRPr="00044430" w:rsidRDefault="00044430" w:rsidP="00044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- порядок внесение инициативных проектов в Администрацию </w:t>
      </w:r>
      <w:r w:rsidR="00EF12A0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A252C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44430">
        <w:rPr>
          <w:rFonts w:ascii="Times New Roman" w:hAnsi="Times New Roman" w:cs="Times New Roman"/>
          <w:sz w:val="28"/>
          <w:szCs w:val="28"/>
        </w:rPr>
        <w:t>;</w:t>
      </w:r>
    </w:p>
    <w:p w:rsidR="00044430" w:rsidRPr="00044430" w:rsidRDefault="00044430" w:rsidP="00044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>- порядок утверждения инициативных проектов для реализации в соответствии с балльной шкалой оценки инициативных проектов, в том числе в целях их выдвижения для получения финансовой поддержки за счет межбюджетных трансфертов из бюджета Омской области;</w:t>
      </w: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430">
        <w:rPr>
          <w:rFonts w:ascii="Times New Roman" w:hAnsi="Times New Roman" w:cs="Times New Roman"/>
          <w:sz w:val="28"/>
          <w:szCs w:val="28"/>
        </w:rPr>
        <w:t xml:space="preserve">         - закрепляет процедуру участия инициаторов проекта в реализации инициативных проектов и бальную шкалу оценки инициативных проектов.</w:t>
      </w: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044430" w:rsidRDefault="00044430" w:rsidP="0004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430" w:rsidRPr="0020243A" w:rsidRDefault="00044430" w:rsidP="00044430">
      <w:pPr>
        <w:ind w:firstLine="709"/>
        <w:jc w:val="both"/>
        <w:rPr>
          <w:sz w:val="28"/>
          <w:szCs w:val="28"/>
        </w:rPr>
      </w:pPr>
    </w:p>
    <w:p w:rsidR="005B4F9A" w:rsidRPr="00044430" w:rsidRDefault="005B4F9A" w:rsidP="00044430">
      <w:pPr>
        <w:spacing w:after="0" w:line="240" w:lineRule="auto"/>
        <w:rPr>
          <w:rFonts w:ascii="Times New Roman" w:hAnsi="Times New Roman" w:cs="Times New Roman"/>
        </w:rPr>
      </w:pPr>
    </w:p>
    <w:sectPr w:rsidR="005B4F9A" w:rsidRPr="00044430" w:rsidSect="00A252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C2515"/>
    <w:multiLevelType w:val="hybridMultilevel"/>
    <w:tmpl w:val="94E8FF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FELayout/>
  </w:compat>
  <w:rsids>
    <w:rsidRoot w:val="00044430"/>
    <w:rsid w:val="00044430"/>
    <w:rsid w:val="003F1CB1"/>
    <w:rsid w:val="005051E9"/>
    <w:rsid w:val="005400E5"/>
    <w:rsid w:val="005A7CF8"/>
    <w:rsid w:val="005B4F9A"/>
    <w:rsid w:val="006669FB"/>
    <w:rsid w:val="009D09E2"/>
    <w:rsid w:val="00A252C2"/>
    <w:rsid w:val="00AB253E"/>
    <w:rsid w:val="00AD17DE"/>
    <w:rsid w:val="00C21737"/>
    <w:rsid w:val="00CB6033"/>
    <w:rsid w:val="00E23578"/>
    <w:rsid w:val="00E62587"/>
    <w:rsid w:val="00EF12A0"/>
    <w:rsid w:val="00F35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44430"/>
    <w:rPr>
      <w:rFonts w:cs="Times New Roman"/>
      <w:color w:val="0000FF"/>
      <w:u w:val="single"/>
    </w:rPr>
  </w:style>
  <w:style w:type="paragraph" w:customStyle="1" w:styleId="a4">
    <w:name w:val="Нормальный (таблица)"/>
    <w:basedOn w:val="a"/>
    <w:next w:val="a"/>
    <w:uiPriority w:val="99"/>
    <w:rsid w:val="0004443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0444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0444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5051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vp.gork.omskport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E71973-B36A-44A9-A46E-40B307CA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4291</Words>
  <Characters>24463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Administr</cp:lastModifiedBy>
  <cp:revision>7</cp:revision>
  <dcterms:created xsi:type="dcterms:W3CDTF">2022-10-04T08:27:00Z</dcterms:created>
  <dcterms:modified xsi:type="dcterms:W3CDTF">2022-10-14T08:40:00Z</dcterms:modified>
</cp:coreProperties>
</file>